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11F" w:rsidRPr="0066211F" w:rsidRDefault="0066211F">
      <w:pPr>
        <w:rPr>
          <w:rFonts w:ascii="Times New Roman" w:hAnsi="Times New Roman" w:cs="Times New Roman"/>
          <w:b/>
          <w:sz w:val="24"/>
          <w:szCs w:val="24"/>
        </w:rPr>
      </w:pPr>
      <w:r w:rsidRPr="0066211F">
        <w:rPr>
          <w:rFonts w:ascii="Times New Roman" w:hAnsi="Times New Roman" w:cs="Times New Roman"/>
          <w:b/>
          <w:sz w:val="24"/>
          <w:szCs w:val="24"/>
        </w:rPr>
        <w:t xml:space="preserve">Materiałoznawstwo odzieżowe 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15.04.2020 r.</w:t>
      </w:r>
    </w:p>
    <w:p w:rsidR="00035BD6" w:rsidRPr="00E95356" w:rsidRDefault="0066211F">
      <w:pPr>
        <w:rPr>
          <w:rFonts w:ascii="Times New Roman" w:hAnsi="Times New Roman" w:cs="Times New Roman"/>
          <w:b/>
          <w:sz w:val="24"/>
          <w:szCs w:val="24"/>
        </w:rPr>
      </w:pPr>
      <w:r w:rsidRPr="00E95356">
        <w:rPr>
          <w:rFonts w:ascii="Times New Roman" w:hAnsi="Times New Roman" w:cs="Times New Roman"/>
          <w:b/>
          <w:sz w:val="24"/>
          <w:szCs w:val="24"/>
        </w:rPr>
        <w:t>Temat: Płaskie wyroby włókiennicze. Budowa tkaniny.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notatkę: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Jakie wyroby zalicza się do płaskich wyrobów włókienniczych ? ( podręcznik str.63).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Wyjaśnij pojęcie </w:t>
      </w:r>
      <w:r w:rsidRPr="0066211F">
        <w:rPr>
          <w:rFonts w:ascii="Times New Roman" w:hAnsi="Times New Roman" w:cs="Times New Roman"/>
          <w:sz w:val="24"/>
          <w:szCs w:val="24"/>
        </w:rPr>
        <w:t>tkanina</w:t>
      </w:r>
      <w:r>
        <w:rPr>
          <w:rFonts w:ascii="Times New Roman" w:hAnsi="Times New Roman" w:cs="Times New Roman"/>
          <w:sz w:val="24"/>
          <w:szCs w:val="24"/>
        </w:rPr>
        <w:t xml:space="preserve"> ( podręcznik str</w:t>
      </w:r>
      <w:r w:rsidR="002958AF">
        <w:rPr>
          <w:rFonts w:ascii="Times New Roman" w:hAnsi="Times New Roman" w:cs="Times New Roman"/>
          <w:sz w:val="24"/>
          <w:szCs w:val="24"/>
        </w:rPr>
        <w:t>. 64 )</w:t>
      </w:r>
    </w:p>
    <w:p w:rsidR="0066211F" w:rsidRDefault="006621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958AF">
        <w:rPr>
          <w:rFonts w:ascii="Times New Roman" w:hAnsi="Times New Roman" w:cs="Times New Roman"/>
          <w:sz w:val="24"/>
          <w:szCs w:val="24"/>
        </w:rPr>
        <w:t>Jak oznacza się kierunek osnowy i wątku ? ( podręcznik str. 64)</w:t>
      </w:r>
    </w:p>
    <w:p w:rsidR="002958AF" w:rsidRDefault="002958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Czym różnią się od siebie nitki osnowy i wątku ?</w:t>
      </w:r>
    </w:p>
    <w:p w:rsidR="002958AF" w:rsidRPr="0066211F" w:rsidRDefault="002958AF">
      <w:pPr>
        <w:rPr>
          <w:rFonts w:ascii="Times New Roman" w:hAnsi="Times New Roman" w:cs="Times New Roman"/>
          <w:sz w:val="24"/>
          <w:szCs w:val="24"/>
        </w:rPr>
      </w:pPr>
    </w:p>
    <w:p w:rsidR="002958AF" w:rsidRPr="007A6DD0" w:rsidRDefault="002958AF" w:rsidP="00295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2958AF" w:rsidRPr="00A0087D" w:rsidRDefault="002958AF" w:rsidP="002958AF">
      <w:pPr>
        <w:rPr>
          <w:rFonts w:ascii="Times New Roman" w:hAnsi="Times New Roman" w:cs="Times New Roman"/>
          <w:sz w:val="24"/>
          <w:szCs w:val="24"/>
        </w:rPr>
      </w:pPr>
    </w:p>
    <w:p w:rsidR="0066211F" w:rsidRPr="0066211F" w:rsidRDefault="0066211F">
      <w:pPr>
        <w:rPr>
          <w:rFonts w:ascii="Times New Roman" w:hAnsi="Times New Roman" w:cs="Times New Roman"/>
          <w:sz w:val="24"/>
          <w:szCs w:val="24"/>
        </w:rPr>
      </w:pPr>
    </w:p>
    <w:sectPr w:rsidR="0066211F" w:rsidRPr="0066211F" w:rsidSect="0003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013B"/>
    <w:rsid w:val="00020F37"/>
    <w:rsid w:val="00035BD6"/>
    <w:rsid w:val="002958AF"/>
    <w:rsid w:val="0066211F"/>
    <w:rsid w:val="00A2013B"/>
    <w:rsid w:val="00E9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2020-04-15T17:49:00Z</dcterms:created>
  <dcterms:modified xsi:type="dcterms:W3CDTF">2020-04-17T05:44:00Z</dcterms:modified>
</cp:coreProperties>
</file>