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60DC80" w14:textId="77777777" w:rsidR="00060D89" w:rsidRPr="00552062" w:rsidRDefault="00060D89" w:rsidP="00015156">
      <w:pPr>
        <w:spacing w:after="150" w:line="240" w:lineRule="auto"/>
        <w:jc w:val="both"/>
        <w:rPr>
          <w:rFonts w:eastAsia="Times New Roman" w:cstheme="minorHAnsi"/>
          <w:b/>
          <w:bCs/>
          <w:color w:val="333333"/>
          <w:lang w:eastAsia="pl-PL"/>
        </w:rPr>
      </w:pPr>
      <w:r w:rsidRPr="00552062">
        <w:rPr>
          <w:rFonts w:eastAsia="Times New Roman" w:cstheme="minorHAnsi"/>
          <w:b/>
          <w:bCs/>
          <w:color w:val="333333"/>
          <w:lang w:eastAsia="pl-PL"/>
        </w:rPr>
        <w:t>Ręczne prace transportowe</w:t>
      </w:r>
    </w:p>
    <w:p w14:paraId="035CF3B8" w14:textId="5A1669EB" w:rsidR="00552062" w:rsidRPr="00552062" w:rsidRDefault="00015156" w:rsidP="00015156">
      <w:pPr>
        <w:spacing w:after="150" w:line="240" w:lineRule="auto"/>
        <w:jc w:val="both"/>
        <w:rPr>
          <w:rFonts w:eastAsia="Times New Roman" w:cstheme="minorHAnsi"/>
          <w:b/>
          <w:bCs/>
          <w:color w:val="333333"/>
          <w:lang w:eastAsia="pl-PL"/>
        </w:rPr>
      </w:pPr>
      <w:r w:rsidRPr="00552062">
        <w:rPr>
          <w:rFonts w:eastAsia="Times New Roman" w:cstheme="minorHAnsi"/>
          <w:b/>
          <w:bCs/>
          <w:color w:val="333333"/>
          <w:lang w:eastAsia="pl-PL"/>
        </w:rPr>
        <w:t>Ręczne prace transportowe</w:t>
      </w:r>
      <w:r w:rsidR="00552062" w:rsidRPr="00552062">
        <w:rPr>
          <w:rFonts w:eastAsia="Times New Roman" w:cstheme="minorHAnsi"/>
          <w:b/>
          <w:bCs/>
          <w:color w:val="333333"/>
          <w:lang w:eastAsia="pl-PL"/>
        </w:rPr>
        <w:t xml:space="preserve"> </w:t>
      </w:r>
      <w:r w:rsidR="00552062" w:rsidRPr="00552062">
        <w:rPr>
          <w:rFonts w:eastAsia="Times New Roman" w:cstheme="minorHAnsi"/>
          <w:color w:val="333333"/>
          <w:lang w:eastAsia="pl-PL"/>
        </w:rPr>
        <w:t>polegają na przemieszczaniu przedmiotów (materiałów) przez co najmniej jednego pracownika</w:t>
      </w:r>
      <w:r w:rsidR="00552062">
        <w:rPr>
          <w:rFonts w:eastAsia="Times New Roman" w:cstheme="minorHAnsi"/>
          <w:b/>
          <w:bCs/>
          <w:color w:val="333333"/>
          <w:lang w:eastAsia="pl-PL"/>
        </w:rPr>
        <w:t xml:space="preserve">. </w:t>
      </w:r>
      <w:r w:rsidR="00552062" w:rsidRPr="00552062">
        <w:rPr>
          <w:rFonts w:eastAsia="Times New Roman" w:cstheme="minorHAnsi"/>
          <w:color w:val="333333"/>
          <w:lang w:eastAsia="pl-PL"/>
        </w:rPr>
        <w:t>Wykonuje się je na stanowiskach wymagających przenoszenia przedmiotów o małej lub dużej masie, czynności manipulacyjnych, prac montażowych czy sterowania maszynami lub urządzeniami. Transport ręczny odbywa się  bez jakichkolwiek urządzeń lub za pomocą prostych beznapędowych środków transportowych (np. taczki, ręcznie poruszane wózki).</w:t>
      </w:r>
    </w:p>
    <w:p w14:paraId="75DA7568" w14:textId="0485EFBC" w:rsidR="00015156" w:rsidRPr="007A56B6" w:rsidRDefault="00552062" w:rsidP="00015156">
      <w:pPr>
        <w:spacing w:after="150" w:line="240" w:lineRule="auto"/>
        <w:jc w:val="both"/>
        <w:rPr>
          <w:rFonts w:eastAsia="Times New Roman" w:cstheme="minorHAnsi"/>
          <w:color w:val="333333"/>
          <w:lang w:eastAsia="pl-PL"/>
        </w:rPr>
      </w:pPr>
      <w:r w:rsidRPr="007A56B6">
        <w:rPr>
          <w:rFonts w:eastAsia="Times New Roman" w:cstheme="minorHAnsi"/>
          <w:color w:val="333333"/>
          <w:lang w:eastAsia="pl-PL"/>
        </w:rPr>
        <w:t xml:space="preserve">Ręczne prace transportowe - </w:t>
      </w:r>
      <w:r w:rsidRPr="007A56B6">
        <w:rPr>
          <w:rFonts w:eastAsia="Times New Roman" w:cstheme="minorHAnsi"/>
          <w:color w:val="333333"/>
          <w:lang w:eastAsia="pl-PL"/>
        </w:rPr>
        <w:t>unoszenie, podnoszenie, układanie, pchanie, ciągnięcie, przenoszenie, przesuwanie, przetaczanie lub przewożeni</w:t>
      </w:r>
      <w:r w:rsidRPr="007A56B6">
        <w:rPr>
          <w:rFonts w:eastAsia="Times New Roman" w:cstheme="minorHAnsi"/>
          <w:color w:val="333333"/>
          <w:lang w:eastAsia="pl-PL"/>
        </w:rPr>
        <w:t xml:space="preserve">e należą do czynności najbardziej obciążających </w:t>
      </w:r>
      <w:r w:rsidR="007A56B6" w:rsidRPr="007A56B6">
        <w:rPr>
          <w:rFonts w:eastAsia="Times New Roman" w:cstheme="minorHAnsi"/>
          <w:color w:val="333333"/>
          <w:lang w:eastAsia="pl-PL"/>
        </w:rPr>
        <w:t>organizm</w:t>
      </w:r>
      <w:r w:rsidRPr="007A56B6">
        <w:rPr>
          <w:rFonts w:eastAsia="Times New Roman" w:cstheme="minorHAnsi"/>
          <w:color w:val="333333"/>
          <w:lang w:eastAsia="pl-PL"/>
        </w:rPr>
        <w:t xml:space="preserve"> </w:t>
      </w:r>
      <w:r w:rsidR="007A56B6" w:rsidRPr="007A56B6">
        <w:rPr>
          <w:rFonts w:eastAsia="Times New Roman" w:cstheme="minorHAnsi"/>
          <w:color w:val="333333"/>
          <w:lang w:eastAsia="pl-PL"/>
        </w:rPr>
        <w:t>i stwarzają poważne zagrożenie wypadkowe.</w:t>
      </w:r>
    </w:p>
    <w:p w14:paraId="58D6FF74" w14:textId="77777777" w:rsidR="00015156" w:rsidRPr="007A56B6" w:rsidRDefault="00015156" w:rsidP="00015156">
      <w:pPr>
        <w:spacing w:after="150" w:line="240" w:lineRule="auto"/>
        <w:jc w:val="both"/>
        <w:rPr>
          <w:rFonts w:eastAsia="Times New Roman" w:cstheme="minorHAnsi"/>
          <w:color w:val="333333"/>
          <w:lang w:eastAsia="pl-PL"/>
        </w:rPr>
      </w:pPr>
      <w:r w:rsidRPr="007A56B6">
        <w:rPr>
          <w:rFonts w:eastAsia="Times New Roman" w:cstheme="minorHAnsi"/>
          <w:color w:val="333333"/>
          <w:lang w:eastAsia="pl-PL"/>
        </w:rPr>
        <w:t>Ręczne przemieszczanie ciężarów może powodować:</w:t>
      </w:r>
    </w:p>
    <w:p w14:paraId="4B12FBE7" w14:textId="77777777" w:rsidR="00015156" w:rsidRPr="007A56B6" w:rsidRDefault="00015156" w:rsidP="00015156">
      <w:pPr>
        <w:numPr>
          <w:ilvl w:val="0"/>
          <w:numId w:val="1"/>
        </w:numPr>
        <w:spacing w:before="100" w:beforeAutospacing="1" w:after="100" w:afterAutospacing="1" w:line="240" w:lineRule="auto"/>
        <w:ind w:left="600"/>
        <w:rPr>
          <w:rFonts w:eastAsia="Times New Roman" w:cstheme="minorHAnsi"/>
          <w:color w:val="333333"/>
          <w:lang w:eastAsia="pl-PL"/>
        </w:rPr>
      </w:pPr>
      <w:r w:rsidRPr="007A56B6">
        <w:rPr>
          <w:rFonts w:eastAsia="Times New Roman" w:cstheme="minorHAnsi"/>
          <w:color w:val="333333"/>
          <w:lang w:eastAsia="pl-PL"/>
        </w:rPr>
        <w:t>urazy nagłe, np. złamania, zranienia, skaleczenia itp.,</w:t>
      </w:r>
    </w:p>
    <w:p w14:paraId="3256A2F0" w14:textId="214AB612" w:rsidR="00015156" w:rsidRPr="007A56B6" w:rsidRDefault="00015156" w:rsidP="00015156">
      <w:pPr>
        <w:numPr>
          <w:ilvl w:val="0"/>
          <w:numId w:val="1"/>
        </w:numPr>
        <w:spacing w:before="100" w:beforeAutospacing="1" w:after="100" w:afterAutospacing="1" w:line="240" w:lineRule="auto"/>
        <w:ind w:left="600"/>
        <w:rPr>
          <w:rFonts w:eastAsia="Times New Roman" w:cstheme="minorHAnsi"/>
          <w:color w:val="333333"/>
          <w:lang w:eastAsia="pl-PL"/>
        </w:rPr>
      </w:pPr>
      <w:r w:rsidRPr="007A56B6">
        <w:rPr>
          <w:rFonts w:eastAsia="Times New Roman" w:cstheme="minorHAnsi"/>
          <w:color w:val="333333"/>
          <w:lang w:eastAsia="pl-PL"/>
        </w:rPr>
        <w:t>urazy kręgosłupa spowodowane ciągłym wykonywaniem czynności przemieszczania ciężarów, charakteryzujące się stopniowym i postępującym pogarszaniem się stanu układu mięśniowo-szkieletowego.</w:t>
      </w:r>
    </w:p>
    <w:p w14:paraId="4A37A1E9" w14:textId="172C15CD" w:rsidR="007A56B6" w:rsidRPr="007A56B6" w:rsidRDefault="007A56B6" w:rsidP="00015156">
      <w:pPr>
        <w:numPr>
          <w:ilvl w:val="0"/>
          <w:numId w:val="1"/>
        </w:numPr>
        <w:spacing w:before="100" w:beforeAutospacing="1" w:after="100" w:afterAutospacing="1" w:line="240" w:lineRule="auto"/>
        <w:ind w:left="600"/>
        <w:rPr>
          <w:rFonts w:eastAsia="Times New Roman" w:cstheme="minorHAnsi"/>
          <w:color w:val="333333"/>
          <w:lang w:eastAsia="pl-PL"/>
        </w:rPr>
      </w:pPr>
      <w:r w:rsidRPr="007A56B6">
        <w:rPr>
          <w:rFonts w:eastAsia="Times New Roman" w:cstheme="minorHAnsi"/>
          <w:color w:val="333333"/>
          <w:lang w:eastAsia="pl-PL"/>
        </w:rPr>
        <w:t>Zapalenia mięśni, uszkodzenia nerwów.</w:t>
      </w:r>
    </w:p>
    <w:p w14:paraId="114D0CA7" w14:textId="1694BAFE" w:rsidR="007A56B6" w:rsidRPr="007A56B6" w:rsidRDefault="007A56B6" w:rsidP="007A56B6">
      <w:pPr>
        <w:spacing w:before="100" w:beforeAutospacing="1" w:after="100" w:afterAutospacing="1" w:line="240" w:lineRule="auto"/>
        <w:rPr>
          <w:rFonts w:eastAsia="Times New Roman" w:cstheme="minorHAnsi"/>
          <w:color w:val="333333"/>
          <w:lang w:eastAsia="pl-PL"/>
        </w:rPr>
      </w:pPr>
      <w:r w:rsidRPr="007A56B6">
        <w:rPr>
          <w:rFonts w:eastAsia="Times New Roman" w:cstheme="minorHAnsi"/>
          <w:color w:val="333333"/>
          <w:lang w:eastAsia="pl-PL"/>
        </w:rPr>
        <w:t xml:space="preserve">Najbardziej narażone na te urazy są: odcinek lędźwiowy kręgosłupa, kręgosłup szyjny, ramiona, nadgarstki, stopy i dłonie. </w:t>
      </w:r>
    </w:p>
    <w:p w14:paraId="7D794265" w14:textId="77777777" w:rsidR="00616FD9" w:rsidRPr="005A464E" w:rsidRDefault="00616FD9" w:rsidP="007A56B6">
      <w:pPr>
        <w:spacing w:after="0" w:line="240" w:lineRule="auto"/>
        <w:rPr>
          <w:rFonts w:eastAsia="Times New Roman" w:cstheme="minorHAnsi"/>
          <w:lang w:eastAsia="pl-PL"/>
        </w:rPr>
      </w:pPr>
      <w:r w:rsidRPr="005A464E">
        <w:rPr>
          <w:rFonts w:eastAsia="Times New Roman" w:cstheme="minorHAnsi"/>
          <w:lang w:eastAsia="pl-PL"/>
        </w:rPr>
        <w:t xml:space="preserve">Czynności podnoszenia i przenoszenia powinny być wykonywane w taki sposób, aby unikać dużych skrętów i niepotrzebnego pochylania tułowia (rys. 3). Podczas podnoszenia i przenoszenia należy dążyć do tego, aby pozycja ciała była możliwie najbardziej zbliżona do naturalnej, takiej w której tułów (kręgosłup) i kończyny są wyprostowane. W miarę zwiększania pochylenia tułowia (zmiany naturalnej krzywizny kręgosłupa) zwiększa się także jego obciążenie. </w:t>
      </w:r>
    </w:p>
    <w:p w14:paraId="0A1BA01D" w14:textId="1273F374" w:rsidR="00015156" w:rsidRPr="005A464E" w:rsidRDefault="00616FD9" w:rsidP="007A56B6">
      <w:pPr>
        <w:spacing w:after="0" w:line="240" w:lineRule="auto"/>
        <w:jc w:val="center"/>
        <w:rPr>
          <w:rFonts w:eastAsia="Times New Roman" w:cstheme="minorHAnsi"/>
          <w:lang w:eastAsia="pl-PL"/>
        </w:rPr>
      </w:pPr>
      <w:r w:rsidRPr="007A56B6">
        <w:rPr>
          <w:rFonts w:eastAsia="Times New Roman" w:cstheme="minorHAnsi"/>
          <w:noProof/>
          <w:lang w:eastAsia="pl-PL"/>
        </w:rPr>
        <w:drawing>
          <wp:inline distT="0" distB="0" distL="0" distR="0" wp14:anchorId="4E858D02" wp14:editId="747F59DE">
            <wp:extent cx="3810000" cy="9525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52500"/>
                    </a:xfrm>
                    <a:prstGeom prst="rect">
                      <a:avLst/>
                    </a:prstGeom>
                    <a:noFill/>
                    <a:ln>
                      <a:noFill/>
                    </a:ln>
                  </pic:spPr>
                </pic:pic>
              </a:graphicData>
            </a:graphic>
          </wp:inline>
        </w:drawing>
      </w:r>
      <w:r w:rsidRPr="007A56B6">
        <w:rPr>
          <w:rFonts w:eastAsia="Times New Roman" w:cstheme="minorHAnsi"/>
          <w:lang w:eastAsia="pl-PL"/>
        </w:rPr>
        <w:br/>
        <w:t xml:space="preserve">Rys. </w:t>
      </w:r>
      <w:r w:rsidRPr="005A464E">
        <w:rPr>
          <w:rFonts w:eastAsia="Times New Roman" w:cstheme="minorHAnsi"/>
          <w:lang w:eastAsia="pl-PL"/>
        </w:rPr>
        <w:t>3. Nieprawidłowa (a) i prawidłowa pozycja ciała podczas podnoszenia (b) i przenoszenia (c), powierzchnia podparcia układu człowiek – przedmiot (d)</w:t>
      </w:r>
    </w:p>
    <w:p w14:paraId="1C8FA712" w14:textId="18F71FB1" w:rsidR="007A56B6" w:rsidRPr="005A464E" w:rsidRDefault="00015156" w:rsidP="00015156">
      <w:pPr>
        <w:spacing w:before="100" w:beforeAutospacing="1" w:after="100" w:afterAutospacing="1" w:line="240" w:lineRule="auto"/>
        <w:rPr>
          <w:rFonts w:eastAsia="Times New Roman" w:cs="Times New Roman"/>
          <w:lang w:eastAsia="pl-PL"/>
        </w:rPr>
      </w:pPr>
      <w:r w:rsidRPr="005A464E">
        <w:rPr>
          <w:rFonts w:eastAsia="Times New Roman" w:cs="Times New Roman"/>
          <w:lang w:eastAsia="pl-PL"/>
        </w:rPr>
        <w:br/>
      </w:r>
      <w:hyperlink r:id="rId7" w:tgtFrame="_self" w:tooltip="Bezpieczeństwo i higiena pracy - przepisy i zasady" w:history="1">
        <w:r w:rsidRPr="005A464E">
          <w:rPr>
            <w:rFonts w:eastAsia="Times New Roman" w:cs="Times New Roman"/>
            <w:b/>
            <w:bCs/>
            <w:lang w:eastAsia="pl-PL"/>
          </w:rPr>
          <w:t>Przepisy BHP</w:t>
        </w:r>
      </w:hyperlink>
      <w:r w:rsidRPr="005A464E">
        <w:rPr>
          <w:rFonts w:eastAsia="Times New Roman" w:cs="Times New Roman"/>
          <w:lang w:eastAsia="pl-PL"/>
        </w:rPr>
        <w:t xml:space="preserve"> </w:t>
      </w:r>
      <w:r w:rsidR="00584D3C" w:rsidRPr="005A464E">
        <w:rPr>
          <w:rFonts w:eastAsia="Times New Roman" w:cs="Times New Roman"/>
          <w:lang w:eastAsia="pl-PL"/>
        </w:rPr>
        <w:t>– dopuszczalna masa przemieszczanych przedmiotów</w:t>
      </w:r>
    </w:p>
    <w:tbl>
      <w:tblPr>
        <w:tblStyle w:val="Tabela-Siatka"/>
        <w:tblW w:w="0" w:type="auto"/>
        <w:tblLook w:val="04A0" w:firstRow="1" w:lastRow="0" w:firstColumn="1" w:lastColumn="0" w:noHBand="0" w:noVBand="1"/>
      </w:tblPr>
      <w:tblGrid>
        <w:gridCol w:w="2614"/>
        <w:gridCol w:w="2614"/>
        <w:gridCol w:w="2614"/>
        <w:gridCol w:w="2614"/>
      </w:tblGrid>
      <w:tr w:rsidR="00227D4A" w:rsidRPr="00227D4A" w14:paraId="50523969" w14:textId="77777777" w:rsidTr="000D27EF">
        <w:tc>
          <w:tcPr>
            <w:tcW w:w="10456" w:type="dxa"/>
            <w:gridSpan w:val="4"/>
          </w:tcPr>
          <w:p w14:paraId="35928056" w14:textId="05F4074F" w:rsidR="00066D9E" w:rsidRPr="00227D4A" w:rsidRDefault="00066D9E" w:rsidP="00015156">
            <w:pPr>
              <w:spacing w:before="100" w:beforeAutospacing="1" w:after="100" w:afterAutospacing="1"/>
              <w:rPr>
                <w:rFonts w:eastAsia="Times New Roman" w:cs="Times New Roman"/>
                <w:b/>
                <w:bCs/>
                <w:lang w:eastAsia="pl-PL"/>
              </w:rPr>
            </w:pPr>
            <w:r w:rsidRPr="00227D4A">
              <w:rPr>
                <w:rFonts w:eastAsia="Times New Roman" w:cs="Times New Roman"/>
                <w:b/>
                <w:bCs/>
                <w:lang w:eastAsia="pl-PL"/>
              </w:rPr>
              <w:t>Masa przedmiotów podnoszonych i przenoszonych samodzielnie przez pracowników nie może przekraczać</w:t>
            </w:r>
          </w:p>
        </w:tc>
      </w:tr>
      <w:tr w:rsidR="00227D4A" w:rsidRPr="00227D4A" w14:paraId="7D35DAB3" w14:textId="77777777" w:rsidTr="00AC33F3">
        <w:tc>
          <w:tcPr>
            <w:tcW w:w="10456" w:type="dxa"/>
            <w:gridSpan w:val="4"/>
          </w:tcPr>
          <w:p w14:paraId="1EE974E3" w14:textId="533C5994" w:rsidR="00066D9E" w:rsidRPr="00227D4A" w:rsidRDefault="00066D9E" w:rsidP="00227D4A">
            <w:pPr>
              <w:spacing w:before="100" w:beforeAutospacing="1" w:after="100" w:afterAutospacing="1"/>
              <w:jc w:val="center"/>
              <w:rPr>
                <w:rFonts w:eastAsia="Times New Roman" w:cs="Times New Roman"/>
                <w:b/>
                <w:bCs/>
                <w:lang w:eastAsia="pl-PL"/>
              </w:rPr>
            </w:pPr>
            <w:r w:rsidRPr="00227D4A">
              <w:rPr>
                <w:rFonts w:eastAsia="Times New Roman" w:cs="Times New Roman"/>
                <w:b/>
                <w:bCs/>
                <w:lang w:eastAsia="pl-PL"/>
              </w:rPr>
              <w:t>OSOBY PEŁNOLETNIE</w:t>
            </w:r>
          </w:p>
        </w:tc>
      </w:tr>
      <w:tr w:rsidR="00227D4A" w:rsidRPr="00227D4A" w14:paraId="1B9A6757" w14:textId="77777777" w:rsidTr="00B44760">
        <w:tc>
          <w:tcPr>
            <w:tcW w:w="5228" w:type="dxa"/>
            <w:gridSpan w:val="2"/>
          </w:tcPr>
          <w:p w14:paraId="1AC456F1" w14:textId="5373BA33" w:rsidR="00066D9E" w:rsidRPr="00227D4A" w:rsidRDefault="00066D9E" w:rsidP="00227D4A">
            <w:pPr>
              <w:spacing w:before="100" w:beforeAutospacing="1" w:after="100" w:afterAutospacing="1"/>
              <w:jc w:val="center"/>
              <w:rPr>
                <w:rFonts w:eastAsia="Times New Roman" w:cs="Times New Roman"/>
                <w:i/>
                <w:iCs/>
                <w:lang w:eastAsia="pl-PL"/>
              </w:rPr>
            </w:pPr>
            <w:r w:rsidRPr="00227D4A">
              <w:rPr>
                <w:rFonts w:eastAsia="Times New Roman" w:cs="Times New Roman"/>
                <w:i/>
                <w:iCs/>
                <w:lang w:eastAsia="pl-PL"/>
              </w:rPr>
              <w:t>Mężczyźni -  praca</w:t>
            </w:r>
          </w:p>
        </w:tc>
        <w:tc>
          <w:tcPr>
            <w:tcW w:w="5228" w:type="dxa"/>
            <w:gridSpan w:val="2"/>
          </w:tcPr>
          <w:p w14:paraId="5D3028CF" w14:textId="19BB29C5" w:rsidR="00066D9E" w:rsidRPr="00227D4A" w:rsidRDefault="00066D9E" w:rsidP="00227D4A">
            <w:pPr>
              <w:spacing w:before="100" w:beforeAutospacing="1" w:after="100" w:afterAutospacing="1"/>
              <w:jc w:val="center"/>
              <w:rPr>
                <w:rFonts w:eastAsia="Times New Roman" w:cs="Times New Roman"/>
                <w:i/>
                <w:iCs/>
                <w:lang w:eastAsia="pl-PL"/>
              </w:rPr>
            </w:pPr>
            <w:r w:rsidRPr="00227D4A">
              <w:rPr>
                <w:rFonts w:eastAsia="Times New Roman" w:cs="Times New Roman"/>
                <w:i/>
                <w:iCs/>
                <w:lang w:eastAsia="pl-PL"/>
              </w:rPr>
              <w:t>Kobiety – praca</w:t>
            </w:r>
          </w:p>
        </w:tc>
      </w:tr>
      <w:tr w:rsidR="00227D4A" w:rsidRPr="00227D4A" w14:paraId="035DBCF8" w14:textId="77777777" w:rsidTr="007A56B6">
        <w:tc>
          <w:tcPr>
            <w:tcW w:w="2614" w:type="dxa"/>
          </w:tcPr>
          <w:p w14:paraId="0D7B3BCA" w14:textId="582F7489" w:rsidR="007A56B6" w:rsidRPr="00227D4A" w:rsidRDefault="00227D4A" w:rsidP="00015156">
            <w:pPr>
              <w:spacing w:before="100" w:beforeAutospacing="1" w:after="100" w:afterAutospacing="1"/>
              <w:rPr>
                <w:rFonts w:eastAsia="Times New Roman" w:cs="Times New Roman"/>
                <w:lang w:eastAsia="pl-PL"/>
              </w:rPr>
            </w:pPr>
            <w:r w:rsidRPr="00227D4A">
              <w:rPr>
                <w:rFonts w:eastAsia="Times New Roman" w:cs="Times New Roman"/>
                <w:lang w:eastAsia="pl-PL"/>
              </w:rPr>
              <w:t>s</w:t>
            </w:r>
            <w:r w:rsidR="00066D9E" w:rsidRPr="00227D4A">
              <w:rPr>
                <w:rFonts w:eastAsia="Times New Roman" w:cs="Times New Roman"/>
                <w:lang w:eastAsia="pl-PL"/>
              </w:rPr>
              <w:t xml:space="preserve">tała </w:t>
            </w:r>
          </w:p>
        </w:tc>
        <w:tc>
          <w:tcPr>
            <w:tcW w:w="2614" w:type="dxa"/>
          </w:tcPr>
          <w:p w14:paraId="4BB17D4A" w14:textId="0B143548" w:rsidR="007A56B6" w:rsidRPr="00227D4A" w:rsidRDefault="00066D9E" w:rsidP="00015156">
            <w:pPr>
              <w:spacing w:before="100" w:beforeAutospacing="1" w:after="100" w:afterAutospacing="1"/>
              <w:rPr>
                <w:rFonts w:eastAsia="Times New Roman" w:cs="Times New Roman"/>
                <w:lang w:eastAsia="pl-PL"/>
              </w:rPr>
            </w:pPr>
            <w:r w:rsidRPr="00227D4A">
              <w:rPr>
                <w:rFonts w:eastAsia="Times New Roman" w:cs="Times New Roman"/>
                <w:lang w:eastAsia="pl-PL"/>
              </w:rPr>
              <w:t>dorywcza</w:t>
            </w:r>
          </w:p>
        </w:tc>
        <w:tc>
          <w:tcPr>
            <w:tcW w:w="2614" w:type="dxa"/>
          </w:tcPr>
          <w:p w14:paraId="73204F9B" w14:textId="00CD8450" w:rsidR="007A56B6" w:rsidRPr="00227D4A" w:rsidRDefault="00227D4A" w:rsidP="00015156">
            <w:pPr>
              <w:spacing w:before="100" w:beforeAutospacing="1" w:after="100" w:afterAutospacing="1"/>
              <w:rPr>
                <w:rFonts w:eastAsia="Times New Roman" w:cs="Times New Roman"/>
                <w:lang w:eastAsia="pl-PL"/>
              </w:rPr>
            </w:pPr>
            <w:r w:rsidRPr="00227D4A">
              <w:rPr>
                <w:rFonts w:eastAsia="Times New Roman" w:cs="Times New Roman"/>
                <w:lang w:eastAsia="pl-PL"/>
              </w:rPr>
              <w:t>stała</w:t>
            </w:r>
          </w:p>
        </w:tc>
        <w:tc>
          <w:tcPr>
            <w:tcW w:w="2614" w:type="dxa"/>
          </w:tcPr>
          <w:p w14:paraId="399AD157" w14:textId="2CB11422" w:rsidR="007A56B6" w:rsidRPr="00227D4A" w:rsidRDefault="00227D4A" w:rsidP="00015156">
            <w:pPr>
              <w:spacing w:before="100" w:beforeAutospacing="1" w:after="100" w:afterAutospacing="1"/>
              <w:rPr>
                <w:rFonts w:eastAsia="Times New Roman" w:cs="Times New Roman"/>
                <w:lang w:eastAsia="pl-PL"/>
              </w:rPr>
            </w:pPr>
            <w:r w:rsidRPr="00227D4A">
              <w:rPr>
                <w:rFonts w:eastAsia="Times New Roman" w:cs="Times New Roman"/>
                <w:lang w:eastAsia="pl-PL"/>
              </w:rPr>
              <w:t>dorywcza</w:t>
            </w:r>
          </w:p>
        </w:tc>
      </w:tr>
      <w:tr w:rsidR="00227D4A" w:rsidRPr="00227D4A" w14:paraId="77E9B2F1" w14:textId="77777777" w:rsidTr="007A56B6">
        <w:tc>
          <w:tcPr>
            <w:tcW w:w="2614" w:type="dxa"/>
          </w:tcPr>
          <w:p w14:paraId="3E2718B6" w14:textId="6CDDBD4F" w:rsidR="007A56B6" w:rsidRPr="00227D4A" w:rsidRDefault="00227D4A" w:rsidP="00015156">
            <w:pPr>
              <w:spacing w:before="100" w:beforeAutospacing="1" w:after="100" w:afterAutospacing="1"/>
              <w:rPr>
                <w:rFonts w:eastAsia="Times New Roman" w:cs="Times New Roman"/>
                <w:lang w:eastAsia="pl-PL"/>
              </w:rPr>
            </w:pPr>
            <w:r w:rsidRPr="00227D4A">
              <w:rPr>
                <w:rFonts w:eastAsia="Times New Roman" w:cs="Times New Roman"/>
                <w:lang w:eastAsia="pl-PL"/>
              </w:rPr>
              <w:t>30 kg</w:t>
            </w:r>
          </w:p>
        </w:tc>
        <w:tc>
          <w:tcPr>
            <w:tcW w:w="2614" w:type="dxa"/>
          </w:tcPr>
          <w:p w14:paraId="7CEBD4CE" w14:textId="4DB51879" w:rsidR="007A56B6" w:rsidRPr="00227D4A" w:rsidRDefault="00227D4A" w:rsidP="00015156">
            <w:pPr>
              <w:spacing w:before="100" w:beforeAutospacing="1" w:after="100" w:afterAutospacing="1"/>
              <w:rPr>
                <w:rFonts w:eastAsia="Times New Roman" w:cs="Times New Roman"/>
                <w:lang w:eastAsia="pl-PL"/>
              </w:rPr>
            </w:pPr>
            <w:r w:rsidRPr="00227D4A">
              <w:rPr>
                <w:rFonts w:eastAsia="Times New Roman" w:cs="Times New Roman"/>
                <w:lang w:eastAsia="pl-PL"/>
              </w:rPr>
              <w:t>50 kg</w:t>
            </w:r>
          </w:p>
        </w:tc>
        <w:tc>
          <w:tcPr>
            <w:tcW w:w="2614" w:type="dxa"/>
          </w:tcPr>
          <w:p w14:paraId="7E4FE91B" w14:textId="71761C49" w:rsidR="007A56B6" w:rsidRPr="00227D4A" w:rsidRDefault="00227D4A" w:rsidP="00015156">
            <w:pPr>
              <w:spacing w:before="100" w:beforeAutospacing="1" w:after="100" w:afterAutospacing="1"/>
              <w:rPr>
                <w:rFonts w:eastAsia="Times New Roman" w:cs="Times New Roman"/>
                <w:lang w:eastAsia="pl-PL"/>
              </w:rPr>
            </w:pPr>
            <w:r w:rsidRPr="00227D4A">
              <w:rPr>
                <w:rFonts w:eastAsia="Times New Roman" w:cs="Times New Roman"/>
                <w:lang w:eastAsia="pl-PL"/>
              </w:rPr>
              <w:t>12 kg</w:t>
            </w:r>
          </w:p>
        </w:tc>
        <w:tc>
          <w:tcPr>
            <w:tcW w:w="2614" w:type="dxa"/>
          </w:tcPr>
          <w:p w14:paraId="5AAE9DD4" w14:textId="1CC11B11" w:rsidR="007A56B6" w:rsidRPr="00227D4A" w:rsidRDefault="00227D4A" w:rsidP="00015156">
            <w:pPr>
              <w:spacing w:before="100" w:beforeAutospacing="1" w:after="100" w:afterAutospacing="1"/>
              <w:rPr>
                <w:rFonts w:eastAsia="Times New Roman" w:cs="Times New Roman"/>
                <w:lang w:eastAsia="pl-PL"/>
              </w:rPr>
            </w:pPr>
            <w:r w:rsidRPr="00227D4A">
              <w:rPr>
                <w:rFonts w:eastAsia="Times New Roman" w:cs="Times New Roman"/>
                <w:lang w:eastAsia="pl-PL"/>
              </w:rPr>
              <w:t>20 kg</w:t>
            </w:r>
          </w:p>
        </w:tc>
      </w:tr>
      <w:tr w:rsidR="00227D4A" w:rsidRPr="00227D4A" w14:paraId="0B827D50" w14:textId="77777777" w:rsidTr="00E541B9">
        <w:tc>
          <w:tcPr>
            <w:tcW w:w="10456" w:type="dxa"/>
            <w:gridSpan w:val="4"/>
          </w:tcPr>
          <w:p w14:paraId="2B08CBE3" w14:textId="6DC0C36F" w:rsidR="00066D9E" w:rsidRPr="00227D4A" w:rsidRDefault="00227D4A" w:rsidP="00227D4A">
            <w:pPr>
              <w:spacing w:before="100" w:beforeAutospacing="1" w:after="100" w:afterAutospacing="1"/>
              <w:jc w:val="center"/>
              <w:rPr>
                <w:rFonts w:eastAsia="Times New Roman" w:cs="Times New Roman"/>
                <w:b/>
                <w:bCs/>
                <w:lang w:eastAsia="pl-PL"/>
              </w:rPr>
            </w:pPr>
            <w:r w:rsidRPr="00227D4A">
              <w:rPr>
                <w:rFonts w:eastAsia="Times New Roman" w:cs="Times New Roman"/>
                <w:b/>
                <w:bCs/>
                <w:lang w:eastAsia="pl-PL"/>
              </w:rPr>
              <w:t>MŁODOCIANI</w:t>
            </w:r>
          </w:p>
        </w:tc>
      </w:tr>
      <w:tr w:rsidR="00227D4A" w:rsidRPr="00227D4A" w14:paraId="673F452A" w14:textId="77777777" w:rsidTr="00153516">
        <w:tc>
          <w:tcPr>
            <w:tcW w:w="5228" w:type="dxa"/>
            <w:gridSpan w:val="2"/>
          </w:tcPr>
          <w:p w14:paraId="414405CE" w14:textId="1CFAADB8" w:rsidR="00227D4A" w:rsidRPr="00227D4A" w:rsidRDefault="00227D4A" w:rsidP="00227D4A">
            <w:pPr>
              <w:spacing w:before="100" w:beforeAutospacing="1" w:after="100" w:afterAutospacing="1"/>
              <w:jc w:val="center"/>
              <w:rPr>
                <w:rFonts w:eastAsia="Times New Roman" w:cs="Times New Roman"/>
                <w:i/>
                <w:iCs/>
                <w:lang w:eastAsia="pl-PL"/>
              </w:rPr>
            </w:pPr>
            <w:r w:rsidRPr="00227D4A">
              <w:rPr>
                <w:rFonts w:eastAsia="Times New Roman" w:cs="Times New Roman"/>
                <w:i/>
                <w:iCs/>
                <w:lang w:eastAsia="pl-PL"/>
              </w:rPr>
              <w:t>Chłopcy – praca</w:t>
            </w:r>
          </w:p>
        </w:tc>
        <w:tc>
          <w:tcPr>
            <w:tcW w:w="5228" w:type="dxa"/>
            <w:gridSpan w:val="2"/>
          </w:tcPr>
          <w:p w14:paraId="25B9E2D1" w14:textId="4A7B2D6F" w:rsidR="00227D4A" w:rsidRPr="00227D4A" w:rsidRDefault="00227D4A" w:rsidP="00227D4A">
            <w:pPr>
              <w:spacing w:before="100" w:beforeAutospacing="1" w:after="100" w:afterAutospacing="1"/>
              <w:jc w:val="center"/>
              <w:rPr>
                <w:rFonts w:eastAsia="Times New Roman" w:cs="Times New Roman"/>
                <w:i/>
                <w:iCs/>
                <w:lang w:eastAsia="pl-PL"/>
              </w:rPr>
            </w:pPr>
            <w:r w:rsidRPr="00227D4A">
              <w:rPr>
                <w:rFonts w:eastAsia="Times New Roman" w:cs="Times New Roman"/>
                <w:i/>
                <w:iCs/>
                <w:lang w:eastAsia="pl-PL"/>
              </w:rPr>
              <w:t>Dziewczęta - praca</w:t>
            </w:r>
          </w:p>
        </w:tc>
      </w:tr>
      <w:tr w:rsidR="00227D4A" w:rsidRPr="00584D3C" w14:paraId="57EAA064" w14:textId="77777777" w:rsidTr="007A56B6">
        <w:tc>
          <w:tcPr>
            <w:tcW w:w="2614" w:type="dxa"/>
          </w:tcPr>
          <w:p w14:paraId="014D42EA" w14:textId="238528B5" w:rsidR="007A56B6" w:rsidRPr="00584D3C" w:rsidRDefault="00227D4A" w:rsidP="00015156">
            <w:pPr>
              <w:spacing w:before="100" w:beforeAutospacing="1" w:after="100" w:afterAutospacing="1"/>
              <w:rPr>
                <w:rFonts w:eastAsia="Times New Roman" w:cs="Times New Roman"/>
                <w:sz w:val="24"/>
                <w:szCs w:val="24"/>
                <w:lang w:eastAsia="pl-PL"/>
              </w:rPr>
            </w:pPr>
            <w:r w:rsidRPr="00584D3C">
              <w:rPr>
                <w:rFonts w:eastAsia="Times New Roman" w:cs="Times New Roman"/>
                <w:sz w:val="24"/>
                <w:szCs w:val="24"/>
                <w:lang w:eastAsia="pl-PL"/>
              </w:rPr>
              <w:t>p</w:t>
            </w:r>
            <w:r w:rsidRPr="00584D3C">
              <w:rPr>
                <w:rFonts w:eastAsia="Times New Roman" w:cs="Times New Roman"/>
                <w:sz w:val="24"/>
                <w:szCs w:val="24"/>
                <w:lang w:eastAsia="pl-PL"/>
              </w:rPr>
              <w:t>rzy obciążeniu powtarzalnym</w:t>
            </w:r>
          </w:p>
        </w:tc>
        <w:tc>
          <w:tcPr>
            <w:tcW w:w="2614" w:type="dxa"/>
          </w:tcPr>
          <w:p w14:paraId="0C0CB8A5" w14:textId="59B246E2" w:rsidR="007A56B6" w:rsidRPr="00584D3C" w:rsidRDefault="00227D4A" w:rsidP="00015156">
            <w:pPr>
              <w:spacing w:before="100" w:beforeAutospacing="1" w:after="100" w:afterAutospacing="1"/>
              <w:rPr>
                <w:rFonts w:eastAsia="Times New Roman" w:cs="Times New Roman"/>
                <w:sz w:val="24"/>
                <w:szCs w:val="24"/>
                <w:lang w:eastAsia="pl-PL"/>
              </w:rPr>
            </w:pPr>
            <w:r w:rsidRPr="00584D3C">
              <w:rPr>
                <w:rFonts w:eastAsia="Times New Roman" w:cs="Times New Roman"/>
                <w:sz w:val="24"/>
                <w:szCs w:val="24"/>
                <w:lang w:eastAsia="pl-PL"/>
              </w:rPr>
              <w:t>dorywcza</w:t>
            </w:r>
          </w:p>
        </w:tc>
        <w:tc>
          <w:tcPr>
            <w:tcW w:w="2614" w:type="dxa"/>
          </w:tcPr>
          <w:p w14:paraId="5F1436CE" w14:textId="0D0B3322" w:rsidR="007A56B6" w:rsidRPr="00584D3C" w:rsidRDefault="00227D4A" w:rsidP="00015156">
            <w:pPr>
              <w:spacing w:before="100" w:beforeAutospacing="1" w:after="100" w:afterAutospacing="1"/>
              <w:rPr>
                <w:rFonts w:eastAsia="Times New Roman" w:cs="Times New Roman"/>
                <w:sz w:val="24"/>
                <w:szCs w:val="24"/>
                <w:lang w:eastAsia="pl-PL"/>
              </w:rPr>
            </w:pPr>
            <w:r w:rsidRPr="00584D3C">
              <w:rPr>
                <w:rFonts w:eastAsia="Times New Roman" w:cs="Times New Roman"/>
                <w:sz w:val="24"/>
                <w:szCs w:val="24"/>
                <w:lang w:eastAsia="pl-PL"/>
              </w:rPr>
              <w:t>p</w:t>
            </w:r>
            <w:r w:rsidRPr="00584D3C">
              <w:rPr>
                <w:rFonts w:eastAsia="Times New Roman" w:cs="Times New Roman"/>
                <w:sz w:val="24"/>
                <w:szCs w:val="24"/>
                <w:lang w:eastAsia="pl-PL"/>
              </w:rPr>
              <w:t>rzy obciążeniu powtarzalnym</w:t>
            </w:r>
          </w:p>
        </w:tc>
        <w:tc>
          <w:tcPr>
            <w:tcW w:w="2614" w:type="dxa"/>
          </w:tcPr>
          <w:p w14:paraId="25877044" w14:textId="3FDCE4AD" w:rsidR="007A56B6" w:rsidRPr="00584D3C" w:rsidRDefault="00227D4A" w:rsidP="00015156">
            <w:pPr>
              <w:spacing w:before="100" w:beforeAutospacing="1" w:after="100" w:afterAutospacing="1"/>
              <w:rPr>
                <w:rFonts w:eastAsia="Times New Roman" w:cs="Times New Roman"/>
                <w:sz w:val="24"/>
                <w:szCs w:val="24"/>
                <w:lang w:eastAsia="pl-PL"/>
              </w:rPr>
            </w:pPr>
            <w:r w:rsidRPr="00584D3C">
              <w:rPr>
                <w:rFonts w:eastAsia="Times New Roman" w:cs="Times New Roman"/>
                <w:sz w:val="24"/>
                <w:szCs w:val="24"/>
                <w:lang w:eastAsia="pl-PL"/>
              </w:rPr>
              <w:t xml:space="preserve">dorywcza </w:t>
            </w:r>
          </w:p>
        </w:tc>
      </w:tr>
      <w:tr w:rsidR="00227D4A" w:rsidRPr="00584D3C" w14:paraId="7376F134" w14:textId="77777777" w:rsidTr="007A56B6">
        <w:tc>
          <w:tcPr>
            <w:tcW w:w="2614" w:type="dxa"/>
          </w:tcPr>
          <w:p w14:paraId="4776039F" w14:textId="27F44B00" w:rsidR="00227D4A" w:rsidRPr="00584D3C" w:rsidRDefault="00227D4A" w:rsidP="00015156">
            <w:pPr>
              <w:spacing w:before="100" w:beforeAutospacing="1" w:after="100" w:afterAutospacing="1"/>
              <w:rPr>
                <w:rFonts w:eastAsia="Times New Roman" w:cs="Times New Roman"/>
                <w:sz w:val="24"/>
                <w:szCs w:val="24"/>
                <w:lang w:eastAsia="pl-PL"/>
              </w:rPr>
            </w:pPr>
            <w:r w:rsidRPr="00584D3C">
              <w:rPr>
                <w:rFonts w:eastAsia="Times New Roman" w:cs="Times New Roman"/>
                <w:sz w:val="24"/>
                <w:szCs w:val="24"/>
                <w:lang w:eastAsia="pl-PL"/>
              </w:rPr>
              <w:t>12 kg</w:t>
            </w:r>
          </w:p>
        </w:tc>
        <w:tc>
          <w:tcPr>
            <w:tcW w:w="2614" w:type="dxa"/>
          </w:tcPr>
          <w:p w14:paraId="1575CA00" w14:textId="1421452E" w:rsidR="00227D4A" w:rsidRPr="00584D3C" w:rsidRDefault="00227D4A" w:rsidP="00015156">
            <w:pPr>
              <w:spacing w:before="100" w:beforeAutospacing="1" w:after="100" w:afterAutospacing="1"/>
              <w:rPr>
                <w:rFonts w:eastAsia="Times New Roman" w:cs="Times New Roman"/>
                <w:sz w:val="24"/>
                <w:szCs w:val="24"/>
                <w:lang w:eastAsia="pl-PL"/>
              </w:rPr>
            </w:pPr>
            <w:r w:rsidRPr="00584D3C">
              <w:rPr>
                <w:rFonts w:eastAsia="Times New Roman" w:cs="Times New Roman"/>
                <w:sz w:val="24"/>
                <w:szCs w:val="24"/>
                <w:lang w:eastAsia="pl-PL"/>
              </w:rPr>
              <w:t>20 kg</w:t>
            </w:r>
          </w:p>
        </w:tc>
        <w:tc>
          <w:tcPr>
            <w:tcW w:w="2614" w:type="dxa"/>
          </w:tcPr>
          <w:p w14:paraId="62D3104E" w14:textId="338E87EB" w:rsidR="00227D4A" w:rsidRPr="00584D3C" w:rsidRDefault="00227D4A" w:rsidP="00015156">
            <w:pPr>
              <w:spacing w:before="100" w:beforeAutospacing="1" w:after="100" w:afterAutospacing="1"/>
              <w:rPr>
                <w:rFonts w:eastAsia="Times New Roman" w:cs="Times New Roman"/>
                <w:sz w:val="24"/>
                <w:szCs w:val="24"/>
                <w:lang w:eastAsia="pl-PL"/>
              </w:rPr>
            </w:pPr>
            <w:r w:rsidRPr="00584D3C">
              <w:rPr>
                <w:rFonts w:eastAsia="Times New Roman" w:cs="Times New Roman"/>
                <w:sz w:val="24"/>
                <w:szCs w:val="24"/>
                <w:lang w:eastAsia="pl-PL"/>
              </w:rPr>
              <w:t>8 kg</w:t>
            </w:r>
          </w:p>
        </w:tc>
        <w:tc>
          <w:tcPr>
            <w:tcW w:w="2614" w:type="dxa"/>
          </w:tcPr>
          <w:p w14:paraId="562563EA" w14:textId="1C525103" w:rsidR="00227D4A" w:rsidRPr="00584D3C" w:rsidRDefault="00227D4A" w:rsidP="00015156">
            <w:pPr>
              <w:spacing w:before="100" w:beforeAutospacing="1" w:after="100" w:afterAutospacing="1"/>
              <w:rPr>
                <w:rFonts w:eastAsia="Times New Roman" w:cs="Times New Roman"/>
                <w:sz w:val="24"/>
                <w:szCs w:val="24"/>
                <w:lang w:eastAsia="pl-PL"/>
              </w:rPr>
            </w:pPr>
            <w:r w:rsidRPr="00584D3C">
              <w:rPr>
                <w:rFonts w:eastAsia="Times New Roman" w:cs="Times New Roman"/>
                <w:sz w:val="24"/>
                <w:szCs w:val="24"/>
                <w:lang w:eastAsia="pl-PL"/>
              </w:rPr>
              <w:t>14 kg</w:t>
            </w:r>
          </w:p>
        </w:tc>
      </w:tr>
    </w:tbl>
    <w:p w14:paraId="0A80A68B" w14:textId="77777777" w:rsidR="00584D3C" w:rsidRPr="005A464E" w:rsidRDefault="00584D3C" w:rsidP="00584D3C">
      <w:pPr>
        <w:pStyle w:val="Akapitzlist"/>
        <w:numPr>
          <w:ilvl w:val="0"/>
          <w:numId w:val="2"/>
        </w:numPr>
        <w:spacing w:before="100" w:beforeAutospacing="1" w:after="100" w:afterAutospacing="1" w:line="240" w:lineRule="auto"/>
        <w:rPr>
          <w:rFonts w:eastAsia="Times New Roman" w:cs="Times New Roman"/>
          <w:lang w:eastAsia="pl-PL"/>
        </w:rPr>
      </w:pPr>
      <w:r w:rsidRPr="005A464E">
        <w:rPr>
          <w:rFonts w:eastAsia="Times New Roman" w:cs="Times New Roman"/>
          <w:lang w:eastAsia="pl-PL"/>
        </w:rPr>
        <w:t>Przenoszenie materiałów niebezpiecznych ciekłych (np. żrących) jest ograniczone do 25 kg wraz z naczyniem, w którym są umieszczone (mężczyźni).</w:t>
      </w:r>
    </w:p>
    <w:p w14:paraId="1DCDE42C" w14:textId="77777777" w:rsidR="00584D3C" w:rsidRPr="005A464E" w:rsidRDefault="00015156" w:rsidP="00584D3C">
      <w:pPr>
        <w:pStyle w:val="Akapitzlist"/>
        <w:numPr>
          <w:ilvl w:val="0"/>
          <w:numId w:val="2"/>
        </w:numPr>
        <w:spacing w:before="100" w:beforeAutospacing="1" w:after="100" w:afterAutospacing="1" w:line="240" w:lineRule="auto"/>
        <w:rPr>
          <w:rFonts w:eastAsia="Times New Roman" w:cs="Times New Roman"/>
          <w:lang w:eastAsia="pl-PL"/>
        </w:rPr>
      </w:pPr>
      <w:r w:rsidRPr="005A464E">
        <w:rPr>
          <w:rFonts w:eastAsia="Times New Roman" w:cs="Times New Roman"/>
          <w:lang w:eastAsia="pl-PL"/>
        </w:rPr>
        <w:t>Przenoszenie materiałów niebezpiecznych ciekłych (np. żrących) jest ograniczone do 10 kg wraz z naczyniem, w którym są umieszczone</w:t>
      </w:r>
      <w:r w:rsidR="00584D3C" w:rsidRPr="005A464E">
        <w:rPr>
          <w:rFonts w:eastAsia="Times New Roman" w:cs="Times New Roman"/>
          <w:lang w:eastAsia="pl-PL"/>
        </w:rPr>
        <w:t xml:space="preserve"> (kobiety)</w:t>
      </w:r>
      <w:r w:rsidRPr="005A464E">
        <w:rPr>
          <w:rFonts w:eastAsia="Times New Roman" w:cs="Times New Roman"/>
          <w:lang w:eastAsia="pl-PL"/>
        </w:rPr>
        <w:t xml:space="preserve">. </w:t>
      </w:r>
    </w:p>
    <w:p w14:paraId="6E768C88" w14:textId="77777777" w:rsidR="005A464E" w:rsidRPr="005A464E" w:rsidRDefault="00015156" w:rsidP="00584D3C">
      <w:pPr>
        <w:pStyle w:val="Akapitzlist"/>
        <w:numPr>
          <w:ilvl w:val="0"/>
          <w:numId w:val="2"/>
        </w:numPr>
        <w:spacing w:before="100" w:beforeAutospacing="1" w:after="100" w:afterAutospacing="1" w:line="240" w:lineRule="auto"/>
        <w:rPr>
          <w:rFonts w:eastAsia="Times New Roman" w:cs="Times New Roman"/>
          <w:lang w:eastAsia="pl-PL"/>
        </w:rPr>
      </w:pPr>
      <w:r w:rsidRPr="005A464E">
        <w:rPr>
          <w:rFonts w:eastAsia="Times New Roman" w:cs="Times New Roman"/>
          <w:lang w:eastAsia="pl-PL"/>
        </w:rPr>
        <w:t xml:space="preserve">Dźwiganie ciężarów w ciąży dopuszczalne jest jedynie do masy 3 kg (i to niezależnie od rodzaju pracy). Noszenie ciężkich rzeczy w ciąży (powyżej 3 kg) jest całkowicie niedopuszczalne. </w:t>
      </w:r>
    </w:p>
    <w:p w14:paraId="64AC0537" w14:textId="77777777" w:rsidR="005A464E" w:rsidRPr="005A464E" w:rsidRDefault="00015156" w:rsidP="00584D3C">
      <w:pPr>
        <w:pStyle w:val="Akapitzlist"/>
        <w:numPr>
          <w:ilvl w:val="0"/>
          <w:numId w:val="2"/>
        </w:numPr>
        <w:spacing w:before="100" w:beforeAutospacing="1" w:after="100" w:afterAutospacing="1" w:line="240" w:lineRule="auto"/>
        <w:rPr>
          <w:rFonts w:eastAsia="Times New Roman" w:cs="Times New Roman"/>
          <w:lang w:eastAsia="pl-PL"/>
        </w:rPr>
      </w:pPr>
      <w:r w:rsidRPr="005A464E">
        <w:rPr>
          <w:rFonts w:eastAsia="Times New Roman" w:cs="Times New Roman"/>
          <w:lang w:eastAsia="pl-PL"/>
        </w:rPr>
        <w:t xml:space="preserve">Podnoszenie ciężarów przez kobietę karmiącą jest ograniczone do 6 kg przy pracy stałej i 10 kg przy pracy dorywczej. </w:t>
      </w:r>
    </w:p>
    <w:p w14:paraId="416B981C" w14:textId="5F513FAF" w:rsidR="00015156" w:rsidRPr="005A464E" w:rsidRDefault="00015156" w:rsidP="005A464E">
      <w:pPr>
        <w:spacing w:before="100" w:beforeAutospacing="1" w:after="100" w:afterAutospacing="1" w:line="240" w:lineRule="auto"/>
        <w:ind w:left="360"/>
        <w:rPr>
          <w:rFonts w:eastAsia="Times New Roman" w:cs="Times New Roman"/>
          <w:b/>
          <w:bCs/>
          <w:lang w:eastAsia="pl-PL"/>
        </w:rPr>
      </w:pPr>
      <w:r w:rsidRPr="005A464E">
        <w:rPr>
          <w:rFonts w:eastAsia="Times New Roman" w:cs="Times New Roman"/>
          <w:b/>
          <w:bCs/>
          <w:lang w:eastAsia="pl-PL"/>
        </w:rPr>
        <w:lastRenderedPageBreak/>
        <w:t>Zasady podnoszenia ciężarów:</w:t>
      </w:r>
    </w:p>
    <w:p w14:paraId="2744E4BC" w14:textId="77777777" w:rsidR="005A464E" w:rsidRPr="005A464E" w:rsidRDefault="00015156" w:rsidP="00015156">
      <w:pPr>
        <w:pStyle w:val="Akapitzlist"/>
        <w:numPr>
          <w:ilvl w:val="0"/>
          <w:numId w:val="3"/>
        </w:numPr>
        <w:spacing w:before="100" w:beforeAutospacing="1" w:after="100" w:afterAutospacing="1" w:line="240" w:lineRule="auto"/>
        <w:rPr>
          <w:rFonts w:eastAsia="Times New Roman" w:cs="Times New Roman"/>
          <w:lang w:eastAsia="pl-PL"/>
        </w:rPr>
      </w:pPr>
      <w:r w:rsidRPr="005A464E">
        <w:rPr>
          <w:rFonts w:eastAsia="Times New Roman" w:cs="Times New Roman"/>
          <w:lang w:eastAsia="pl-PL"/>
        </w:rPr>
        <w:t xml:space="preserve">powierzchnia do transportu powinna być równa i stabilna, </w:t>
      </w:r>
    </w:p>
    <w:p w14:paraId="3671D400" w14:textId="77777777" w:rsidR="005A464E" w:rsidRPr="005A464E" w:rsidRDefault="00015156" w:rsidP="00015156">
      <w:pPr>
        <w:pStyle w:val="Akapitzlist"/>
        <w:numPr>
          <w:ilvl w:val="0"/>
          <w:numId w:val="3"/>
        </w:numPr>
        <w:spacing w:before="100" w:beforeAutospacing="1" w:after="100" w:afterAutospacing="1" w:line="240" w:lineRule="auto"/>
        <w:rPr>
          <w:rFonts w:eastAsia="Times New Roman" w:cs="Times New Roman"/>
          <w:lang w:eastAsia="pl-PL"/>
        </w:rPr>
      </w:pPr>
      <w:r w:rsidRPr="005A464E">
        <w:rPr>
          <w:rFonts w:eastAsia="Times New Roman" w:cs="Times New Roman"/>
          <w:lang w:eastAsia="pl-PL"/>
        </w:rPr>
        <w:t xml:space="preserve">należy zachować odpowiednią pozycję ciała (nieruchomy kręgosłup, w pozycji ergonomicznej), </w:t>
      </w:r>
    </w:p>
    <w:p w14:paraId="10F8F071" w14:textId="77777777" w:rsidR="005A464E" w:rsidRPr="005A464E" w:rsidRDefault="00015156" w:rsidP="00015156">
      <w:pPr>
        <w:pStyle w:val="Akapitzlist"/>
        <w:numPr>
          <w:ilvl w:val="0"/>
          <w:numId w:val="3"/>
        </w:numPr>
        <w:spacing w:before="100" w:beforeAutospacing="1" w:after="100" w:afterAutospacing="1" w:line="240" w:lineRule="auto"/>
        <w:rPr>
          <w:rFonts w:eastAsia="Times New Roman" w:cs="Times New Roman"/>
          <w:lang w:eastAsia="pl-PL"/>
        </w:rPr>
      </w:pPr>
      <w:r w:rsidRPr="005A464E">
        <w:rPr>
          <w:rFonts w:eastAsia="Times New Roman" w:cs="Times New Roman"/>
          <w:lang w:eastAsia="pl-PL"/>
        </w:rPr>
        <w:t xml:space="preserve">nie wolno przekraczać normy wydatkowania kcal (2000 na zmianę roboczą), </w:t>
      </w:r>
    </w:p>
    <w:p w14:paraId="2A57CB11" w14:textId="77777777" w:rsidR="005A464E" w:rsidRPr="005A464E" w:rsidRDefault="00015156" w:rsidP="00015156">
      <w:pPr>
        <w:pStyle w:val="Akapitzlist"/>
        <w:numPr>
          <w:ilvl w:val="0"/>
          <w:numId w:val="3"/>
        </w:numPr>
        <w:spacing w:before="100" w:beforeAutospacing="1" w:after="100" w:afterAutospacing="1" w:line="240" w:lineRule="auto"/>
        <w:rPr>
          <w:rFonts w:eastAsia="Times New Roman" w:cs="Times New Roman"/>
          <w:lang w:eastAsia="pl-PL"/>
        </w:rPr>
      </w:pPr>
      <w:r w:rsidRPr="005A464E">
        <w:rPr>
          <w:rFonts w:eastAsia="Times New Roman" w:cs="Times New Roman"/>
          <w:lang w:eastAsia="pl-PL"/>
        </w:rPr>
        <w:t xml:space="preserve">wszelkie ostre i niebezpieczne krawędzie muszą być zabezpieczone, </w:t>
      </w:r>
    </w:p>
    <w:p w14:paraId="2A09F7AC" w14:textId="716E2A40" w:rsidR="00015156" w:rsidRPr="00235041" w:rsidRDefault="00015156" w:rsidP="00015156">
      <w:pPr>
        <w:pStyle w:val="Akapitzlist"/>
        <w:numPr>
          <w:ilvl w:val="0"/>
          <w:numId w:val="3"/>
        </w:numPr>
        <w:spacing w:before="100" w:beforeAutospacing="1" w:after="100" w:afterAutospacing="1" w:line="240" w:lineRule="auto"/>
        <w:rPr>
          <w:rFonts w:eastAsia="Times New Roman" w:cs="Times New Roman"/>
          <w:lang w:eastAsia="pl-PL"/>
        </w:rPr>
      </w:pPr>
      <w:r w:rsidRPr="00235041">
        <w:rPr>
          <w:rFonts w:eastAsia="Times New Roman" w:cs="Times New Roman"/>
          <w:lang w:eastAsia="pl-PL"/>
        </w:rPr>
        <w:t>maksymalny ciężar w pracy musi być zgodny z normami dla danego pracownika.</w:t>
      </w:r>
    </w:p>
    <w:p w14:paraId="2E29EA85" w14:textId="77777777" w:rsidR="005A464E" w:rsidRPr="00235041" w:rsidRDefault="005A464E" w:rsidP="005A464E">
      <w:pPr>
        <w:rPr>
          <w:rFonts w:cs="Helvetica"/>
          <w:b/>
          <w:bCs/>
          <w:color w:val="FF0000"/>
          <w:sz w:val="24"/>
          <w:szCs w:val="24"/>
          <w:shd w:val="clear" w:color="auto" w:fill="FFFFFF"/>
        </w:rPr>
      </w:pPr>
      <w:r w:rsidRPr="00235041">
        <w:rPr>
          <w:rFonts w:cs="Helvetica"/>
          <w:b/>
          <w:bCs/>
          <w:color w:val="FF0000"/>
          <w:sz w:val="24"/>
          <w:szCs w:val="24"/>
          <w:shd w:val="clear" w:color="auto" w:fill="FFFFFF"/>
        </w:rPr>
        <w:t>Niedopuszczalne jest zespołowe ręczne przemieszczanie przedmiotów na odległość przekraczającą 25 m lub o masie przekraczającej 500 kg dla mężczyzn i 200 kg dla kobiet.</w:t>
      </w:r>
    </w:p>
    <w:p w14:paraId="191A1258" w14:textId="40133FB8" w:rsidR="00AD46EA" w:rsidRPr="006D2653" w:rsidRDefault="00AD46EA" w:rsidP="006D2653">
      <w:pPr>
        <w:pStyle w:val="Akapitzlist"/>
        <w:numPr>
          <w:ilvl w:val="0"/>
          <w:numId w:val="7"/>
        </w:numPr>
        <w:spacing w:after="200" w:line="276" w:lineRule="auto"/>
        <w:rPr>
          <w:rFonts w:cs="Times New Roman"/>
        </w:rPr>
      </w:pPr>
      <w:r w:rsidRPr="00235041">
        <w:rPr>
          <w:rFonts w:cs="Times New Roman"/>
        </w:rPr>
        <w:t xml:space="preserve">Zaznacz jak prawidłowo podnosić ciężary </w:t>
      </w:r>
    </w:p>
    <w:p w14:paraId="183E77CA" w14:textId="77777777" w:rsidR="00AD46EA" w:rsidRPr="00235041" w:rsidRDefault="00AD46EA" w:rsidP="00AD46EA">
      <w:pPr>
        <w:ind w:firstLine="708"/>
      </w:pPr>
      <w:r w:rsidRPr="00235041">
        <w:rPr>
          <w:noProof/>
          <w:lang w:eastAsia="pl-PL"/>
        </w:rPr>
        <w:drawing>
          <wp:inline distT="0" distB="0" distL="0" distR="0" wp14:anchorId="2F862E3E" wp14:editId="7B7597D9">
            <wp:extent cx="5191125" cy="1266825"/>
            <wp:effectExtent l="0" t="0" r="9525" b="9525"/>
            <wp:docPr id="4" name="Obraz 3" descr="C:\Users\Komputer\Desktop\pobra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omputer\Desktop\pobrane.jpg"/>
                    <pic:cNvPicPr>
                      <a:picLocks noChangeAspect="1" noChangeArrowheads="1"/>
                    </pic:cNvPicPr>
                  </pic:nvPicPr>
                  <pic:blipFill>
                    <a:blip r:embed="rId8" cstate="print"/>
                    <a:srcRect/>
                    <a:stretch>
                      <a:fillRect/>
                    </a:stretch>
                  </pic:blipFill>
                  <pic:spPr bwMode="auto">
                    <a:xfrm>
                      <a:off x="0" y="0"/>
                      <a:ext cx="5191125" cy="1266825"/>
                    </a:xfrm>
                    <a:prstGeom prst="rect">
                      <a:avLst/>
                    </a:prstGeom>
                    <a:noFill/>
                    <a:ln w="9525">
                      <a:noFill/>
                      <a:miter lim="800000"/>
                      <a:headEnd/>
                      <a:tailEnd/>
                    </a:ln>
                  </pic:spPr>
                </pic:pic>
              </a:graphicData>
            </a:graphic>
          </wp:inline>
        </w:drawing>
      </w:r>
    </w:p>
    <w:p w14:paraId="5A6074A3" w14:textId="007DA240" w:rsidR="00235041" w:rsidRPr="00235041" w:rsidRDefault="00235041" w:rsidP="00235041">
      <w:pPr>
        <w:pStyle w:val="Akapitzlist"/>
        <w:numPr>
          <w:ilvl w:val="0"/>
          <w:numId w:val="7"/>
        </w:numPr>
        <w:tabs>
          <w:tab w:val="left" w:pos="720"/>
        </w:tabs>
        <w:spacing w:after="0" w:line="240" w:lineRule="auto"/>
        <w:rPr>
          <w:rFonts w:eastAsia="Times New Roman" w:cs="Times New Roman"/>
          <w:color w:val="000000"/>
          <w:lang w:eastAsia="pl-PL"/>
        </w:rPr>
      </w:pPr>
      <w:r w:rsidRPr="00235041">
        <w:rPr>
          <w:rFonts w:eastAsia="Times New Roman" w:cs="Times New Roman"/>
          <w:b/>
          <w:color w:val="000000"/>
          <w:u w:val="single"/>
          <w:lang w:eastAsia="pl-PL"/>
        </w:rPr>
        <w:t>Najmniej</w:t>
      </w:r>
      <w:r w:rsidRPr="00235041">
        <w:rPr>
          <w:rFonts w:eastAsia="Times New Roman" w:cs="Times New Roman"/>
          <w:color w:val="000000"/>
          <w:lang w:eastAsia="pl-PL"/>
        </w:rPr>
        <w:t> korzystna pozycja podczas przenoszenia ładunku została przedstawiona na fotografii</w:t>
      </w:r>
    </w:p>
    <w:p w14:paraId="41676FA0" w14:textId="1653C052" w:rsidR="00235041" w:rsidRPr="00235041" w:rsidRDefault="00235041" w:rsidP="00235041">
      <w:pPr>
        <w:spacing w:after="360" w:line="240" w:lineRule="auto"/>
        <w:ind w:left="720"/>
        <w:rPr>
          <w:rFonts w:eastAsia="Times New Roman" w:cs="Times New Roman"/>
          <w:color w:val="000000"/>
          <w:lang w:eastAsia="pl-PL"/>
        </w:rPr>
      </w:pPr>
      <w:r w:rsidRPr="00235041">
        <w:rPr>
          <w:rFonts w:eastAsiaTheme="minorEastAsia"/>
          <w:lang w:eastAsia="pl-PL"/>
        </w:rPr>
        <w:object w:dxaOrig="8510" w:dyaOrig="2174" w14:anchorId="52CB3FEE">
          <v:rect id="rectole0000000000" o:spid="_x0000_i1025" style="width:404.25pt;height:88.5pt" o:ole="" o:preferrelative="t" stroked="f">
            <v:imagedata r:id="rId9" o:title=""/>
          </v:rect>
          <o:OLEObject Type="Embed" ProgID="StaticMetafile" ShapeID="rectole0000000000" DrawAspect="Content" ObjectID="_1644784507" r:id="rId10"/>
        </w:object>
      </w:r>
    </w:p>
    <w:p w14:paraId="383221DF" w14:textId="77777777" w:rsidR="00235041" w:rsidRPr="00235041" w:rsidRDefault="00235041" w:rsidP="00235041">
      <w:pPr>
        <w:numPr>
          <w:ilvl w:val="0"/>
          <w:numId w:val="6"/>
        </w:numPr>
        <w:spacing w:after="360" w:line="240" w:lineRule="auto"/>
        <w:contextualSpacing/>
        <w:rPr>
          <w:rFonts w:eastAsia="Times New Roman" w:cs="Times New Roman"/>
          <w:color w:val="000000"/>
          <w:lang w:eastAsia="pl-PL"/>
        </w:rPr>
      </w:pPr>
      <w:r w:rsidRPr="00235041">
        <w:rPr>
          <w:rFonts w:eastAsia="Times New Roman" w:cs="Times New Roman"/>
          <w:color w:val="000000"/>
          <w:lang w:eastAsia="pl-PL"/>
        </w:rPr>
        <w:t>C</w:t>
      </w:r>
    </w:p>
    <w:p w14:paraId="764A2C32" w14:textId="77777777" w:rsidR="00235041" w:rsidRPr="00235041" w:rsidRDefault="00235041" w:rsidP="00235041">
      <w:pPr>
        <w:numPr>
          <w:ilvl w:val="0"/>
          <w:numId w:val="6"/>
        </w:numPr>
        <w:spacing w:after="360" w:line="240" w:lineRule="auto"/>
        <w:contextualSpacing/>
        <w:rPr>
          <w:rFonts w:eastAsia="Times New Roman" w:cs="Times New Roman"/>
          <w:bCs/>
          <w:color w:val="000000"/>
          <w:lang w:eastAsia="pl-PL"/>
        </w:rPr>
      </w:pPr>
      <w:r w:rsidRPr="00235041">
        <w:rPr>
          <w:rFonts w:eastAsia="Times New Roman" w:cs="Times New Roman"/>
          <w:bCs/>
          <w:color w:val="000000"/>
          <w:lang w:eastAsia="pl-PL"/>
        </w:rPr>
        <w:t>B</w:t>
      </w:r>
      <w:bookmarkStart w:id="0" w:name="_GoBack"/>
      <w:bookmarkEnd w:id="0"/>
    </w:p>
    <w:p w14:paraId="168E5F3F" w14:textId="77777777" w:rsidR="00235041" w:rsidRPr="00235041" w:rsidRDefault="00235041" w:rsidP="00235041">
      <w:pPr>
        <w:numPr>
          <w:ilvl w:val="0"/>
          <w:numId w:val="6"/>
        </w:numPr>
        <w:spacing w:after="360" w:line="240" w:lineRule="auto"/>
        <w:contextualSpacing/>
        <w:rPr>
          <w:rFonts w:eastAsia="Times New Roman" w:cs="Times New Roman"/>
          <w:color w:val="000000"/>
          <w:lang w:eastAsia="pl-PL"/>
        </w:rPr>
      </w:pPr>
      <w:r w:rsidRPr="00235041">
        <w:rPr>
          <w:rFonts w:eastAsia="Times New Roman" w:cs="Times New Roman"/>
          <w:color w:val="000000"/>
          <w:lang w:eastAsia="pl-PL"/>
        </w:rPr>
        <w:t>D</w:t>
      </w:r>
    </w:p>
    <w:p w14:paraId="6EE8A8B5" w14:textId="77777777" w:rsidR="00235041" w:rsidRPr="00235041" w:rsidRDefault="00235041" w:rsidP="00235041">
      <w:pPr>
        <w:numPr>
          <w:ilvl w:val="0"/>
          <w:numId w:val="6"/>
        </w:numPr>
        <w:spacing w:after="360" w:line="240" w:lineRule="auto"/>
        <w:contextualSpacing/>
        <w:rPr>
          <w:rFonts w:eastAsia="Times New Roman" w:cs="Times New Roman"/>
          <w:color w:val="000000"/>
          <w:lang w:eastAsia="pl-PL"/>
        </w:rPr>
      </w:pPr>
      <w:r w:rsidRPr="00235041">
        <w:rPr>
          <w:rFonts w:eastAsia="Times New Roman" w:cs="Times New Roman"/>
          <w:color w:val="000000"/>
          <w:lang w:eastAsia="pl-PL"/>
        </w:rPr>
        <w:t>A</w:t>
      </w:r>
    </w:p>
    <w:p w14:paraId="59CEC46A" w14:textId="77777777" w:rsidR="00015156" w:rsidRPr="00235041" w:rsidRDefault="00015156"/>
    <w:sectPr w:rsidR="00015156" w:rsidRPr="00235041" w:rsidSect="00060D8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24B80"/>
    <w:multiLevelType w:val="multilevel"/>
    <w:tmpl w:val="806E8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D04DAE"/>
    <w:multiLevelType w:val="hybridMultilevel"/>
    <w:tmpl w:val="79D2DC88"/>
    <w:lvl w:ilvl="0" w:tplc="7A70B8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23F5DE5"/>
    <w:multiLevelType w:val="hybridMultilevel"/>
    <w:tmpl w:val="EE4A31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F567457"/>
    <w:multiLevelType w:val="hybridMultilevel"/>
    <w:tmpl w:val="0BE83E92"/>
    <w:lvl w:ilvl="0" w:tplc="04150001">
      <w:start w:val="1"/>
      <w:numFmt w:val="bullet"/>
      <w:lvlText w:val=""/>
      <w:lvlJc w:val="left"/>
      <w:pPr>
        <w:ind w:left="643" w:hanging="360"/>
      </w:pPr>
      <w:rPr>
        <w:rFonts w:ascii="Symbol" w:hAnsi="Symbol" w:hint="default"/>
      </w:rPr>
    </w:lvl>
    <w:lvl w:ilvl="1" w:tplc="04150003" w:tentative="1">
      <w:start w:val="1"/>
      <w:numFmt w:val="bullet"/>
      <w:lvlText w:val="o"/>
      <w:lvlJc w:val="left"/>
      <w:pPr>
        <w:ind w:left="1363" w:hanging="360"/>
      </w:pPr>
      <w:rPr>
        <w:rFonts w:ascii="Courier New" w:hAnsi="Courier New" w:cs="Courier New" w:hint="default"/>
      </w:rPr>
    </w:lvl>
    <w:lvl w:ilvl="2" w:tplc="04150005" w:tentative="1">
      <w:start w:val="1"/>
      <w:numFmt w:val="bullet"/>
      <w:lvlText w:val=""/>
      <w:lvlJc w:val="left"/>
      <w:pPr>
        <w:ind w:left="2083" w:hanging="360"/>
      </w:pPr>
      <w:rPr>
        <w:rFonts w:ascii="Wingdings" w:hAnsi="Wingdings" w:hint="default"/>
      </w:rPr>
    </w:lvl>
    <w:lvl w:ilvl="3" w:tplc="04150001" w:tentative="1">
      <w:start w:val="1"/>
      <w:numFmt w:val="bullet"/>
      <w:lvlText w:val=""/>
      <w:lvlJc w:val="left"/>
      <w:pPr>
        <w:ind w:left="2803" w:hanging="360"/>
      </w:pPr>
      <w:rPr>
        <w:rFonts w:ascii="Symbol" w:hAnsi="Symbol" w:hint="default"/>
      </w:rPr>
    </w:lvl>
    <w:lvl w:ilvl="4" w:tplc="04150003" w:tentative="1">
      <w:start w:val="1"/>
      <w:numFmt w:val="bullet"/>
      <w:lvlText w:val="o"/>
      <w:lvlJc w:val="left"/>
      <w:pPr>
        <w:ind w:left="3523" w:hanging="360"/>
      </w:pPr>
      <w:rPr>
        <w:rFonts w:ascii="Courier New" w:hAnsi="Courier New" w:cs="Courier New" w:hint="default"/>
      </w:rPr>
    </w:lvl>
    <w:lvl w:ilvl="5" w:tplc="04150005" w:tentative="1">
      <w:start w:val="1"/>
      <w:numFmt w:val="bullet"/>
      <w:lvlText w:val=""/>
      <w:lvlJc w:val="left"/>
      <w:pPr>
        <w:ind w:left="4243" w:hanging="360"/>
      </w:pPr>
      <w:rPr>
        <w:rFonts w:ascii="Wingdings" w:hAnsi="Wingdings" w:hint="default"/>
      </w:rPr>
    </w:lvl>
    <w:lvl w:ilvl="6" w:tplc="04150001" w:tentative="1">
      <w:start w:val="1"/>
      <w:numFmt w:val="bullet"/>
      <w:lvlText w:val=""/>
      <w:lvlJc w:val="left"/>
      <w:pPr>
        <w:ind w:left="4963" w:hanging="360"/>
      </w:pPr>
      <w:rPr>
        <w:rFonts w:ascii="Symbol" w:hAnsi="Symbol" w:hint="default"/>
      </w:rPr>
    </w:lvl>
    <w:lvl w:ilvl="7" w:tplc="04150003" w:tentative="1">
      <w:start w:val="1"/>
      <w:numFmt w:val="bullet"/>
      <w:lvlText w:val="o"/>
      <w:lvlJc w:val="left"/>
      <w:pPr>
        <w:ind w:left="5683" w:hanging="360"/>
      </w:pPr>
      <w:rPr>
        <w:rFonts w:ascii="Courier New" w:hAnsi="Courier New" w:cs="Courier New" w:hint="default"/>
      </w:rPr>
    </w:lvl>
    <w:lvl w:ilvl="8" w:tplc="04150005" w:tentative="1">
      <w:start w:val="1"/>
      <w:numFmt w:val="bullet"/>
      <w:lvlText w:val=""/>
      <w:lvlJc w:val="left"/>
      <w:pPr>
        <w:ind w:left="6403" w:hanging="360"/>
      </w:pPr>
      <w:rPr>
        <w:rFonts w:ascii="Wingdings" w:hAnsi="Wingdings" w:hint="default"/>
      </w:rPr>
    </w:lvl>
  </w:abstractNum>
  <w:abstractNum w:abstractNumId="4" w15:restartNumberingAfterBreak="0">
    <w:nsid w:val="57397800"/>
    <w:multiLevelType w:val="hybridMultilevel"/>
    <w:tmpl w:val="D344815C"/>
    <w:lvl w:ilvl="0" w:tplc="04150019">
      <w:start w:val="1"/>
      <w:numFmt w:val="lowerLetter"/>
      <w:lvlText w:val="%1."/>
      <w:lvlJc w:val="left"/>
      <w:pPr>
        <w:ind w:left="1210"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5" w15:restartNumberingAfterBreak="0">
    <w:nsid w:val="7A352222"/>
    <w:multiLevelType w:val="hybridMultilevel"/>
    <w:tmpl w:val="6806408A"/>
    <w:lvl w:ilvl="0" w:tplc="4DF415B6">
      <w:start w:val="5"/>
      <w:numFmt w:val="decimal"/>
      <w:lvlText w:val="%1."/>
      <w:lvlJc w:val="left"/>
      <w:pPr>
        <w:ind w:left="720" w:hanging="360"/>
      </w:pPr>
      <w:rPr>
        <w:rFonts w:eastAsia="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CF47F1F"/>
    <w:multiLevelType w:val="hybridMultilevel"/>
    <w:tmpl w:val="35206EFE"/>
    <w:lvl w:ilvl="0" w:tplc="04150001">
      <w:start w:val="1"/>
      <w:numFmt w:val="bullet"/>
      <w:lvlText w:val=""/>
      <w:lvlJc w:val="left"/>
      <w:pPr>
        <w:ind w:left="785" w:hanging="360"/>
      </w:pPr>
      <w:rPr>
        <w:rFonts w:ascii="Symbol" w:hAnsi="Symbol"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num w:numId="1">
    <w:abstractNumId w:val="0"/>
  </w:num>
  <w:num w:numId="2">
    <w:abstractNumId w:val="3"/>
  </w:num>
  <w:num w:numId="3">
    <w:abstractNumId w:val="6"/>
  </w:num>
  <w:num w:numId="4">
    <w:abstractNumId w:val="5"/>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7E8"/>
    <w:rsid w:val="00015156"/>
    <w:rsid w:val="00060D89"/>
    <w:rsid w:val="00066D9E"/>
    <w:rsid w:val="00227D4A"/>
    <w:rsid w:val="00235041"/>
    <w:rsid w:val="00287725"/>
    <w:rsid w:val="003D47E8"/>
    <w:rsid w:val="0040288C"/>
    <w:rsid w:val="00552062"/>
    <w:rsid w:val="00584D3C"/>
    <w:rsid w:val="005A464E"/>
    <w:rsid w:val="00616FD9"/>
    <w:rsid w:val="006D2653"/>
    <w:rsid w:val="007A56B6"/>
    <w:rsid w:val="00AD46EA"/>
    <w:rsid w:val="00DE72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E78B1"/>
  <w15:chartTrackingRefBased/>
  <w15:docId w15:val="{635663CE-388A-4651-9BA4-A3F6EE1AF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015156"/>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39"/>
    <w:rsid w:val="007A56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584D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4120116">
      <w:bodyDiv w:val="1"/>
      <w:marLeft w:val="0"/>
      <w:marRight w:val="0"/>
      <w:marTop w:val="0"/>
      <w:marBottom w:val="0"/>
      <w:divBdr>
        <w:top w:val="none" w:sz="0" w:space="0" w:color="auto"/>
        <w:left w:val="none" w:sz="0" w:space="0" w:color="auto"/>
        <w:bottom w:val="none" w:sz="0" w:space="0" w:color="auto"/>
        <w:right w:val="none" w:sz="0" w:space="0" w:color="auto"/>
      </w:divBdr>
    </w:div>
    <w:div w:id="1046831366">
      <w:bodyDiv w:val="1"/>
      <w:marLeft w:val="0"/>
      <w:marRight w:val="0"/>
      <w:marTop w:val="0"/>
      <w:marBottom w:val="0"/>
      <w:divBdr>
        <w:top w:val="none" w:sz="0" w:space="0" w:color="auto"/>
        <w:left w:val="none" w:sz="0" w:space="0" w:color="auto"/>
        <w:bottom w:val="none" w:sz="0" w:space="0" w:color="auto"/>
        <w:right w:val="none" w:sz="0" w:space="0" w:color="auto"/>
      </w:divBdr>
    </w:div>
    <w:div w:id="1869442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https://www.praca.pl/poradniki/rynek-pracy/bezpieczenstwo-i-higiena-pracy-przepisy-i-zasady_pr-1875.htm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BA51A2-6519-4764-AC8B-126D93A76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Pages>
  <Words>530</Words>
  <Characters>3180</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MonikaBochen@outlook.com</dc:creator>
  <cp:keywords/>
  <dc:description/>
  <cp:lastModifiedBy>MonikaBochen@outlook.com</cp:lastModifiedBy>
  <cp:revision>11</cp:revision>
  <dcterms:created xsi:type="dcterms:W3CDTF">2020-02-20T22:09:00Z</dcterms:created>
  <dcterms:modified xsi:type="dcterms:W3CDTF">2020-03-03T22:49:00Z</dcterms:modified>
</cp:coreProperties>
</file>